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4D" w:rsidRDefault="001B2B4D" w:rsidP="0047145A">
      <w:pPr>
        <w:jc w:val="center"/>
        <w:rPr>
          <w:rFonts w:ascii="Times New Roman" w:hAnsi="Times New Roman" w:cs="Times New Roman"/>
          <w:b/>
          <w:szCs w:val="21"/>
        </w:rPr>
      </w:pPr>
      <w:r w:rsidRPr="001B2B4D">
        <w:rPr>
          <w:rFonts w:ascii="Times New Roman" w:hAnsi="Times New Roman" w:cs="Times New Roman" w:hint="eastAsia"/>
          <w:b/>
          <w:i/>
          <w:szCs w:val="21"/>
        </w:rPr>
        <w:t>Journal of Multicultural Discourses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="0047145A">
        <w:rPr>
          <w:rFonts w:ascii="Times New Roman" w:hAnsi="Times New Roman" w:cs="Times New Roman" w:hint="eastAsia"/>
          <w:b/>
          <w:szCs w:val="21"/>
        </w:rPr>
        <w:t xml:space="preserve">2018 </w:t>
      </w:r>
    </w:p>
    <w:p w:rsidR="00F70362" w:rsidRDefault="00F70362" w:rsidP="0047145A">
      <w:pPr>
        <w:jc w:val="center"/>
        <w:rPr>
          <w:rFonts w:ascii="Times New Roman" w:hAnsi="Times New Roman" w:cs="Times New Roman" w:hint="eastAsia"/>
          <w:b/>
          <w:szCs w:val="21"/>
        </w:rPr>
      </w:pPr>
    </w:p>
    <w:p w:rsidR="003D5D64" w:rsidRDefault="0047145A" w:rsidP="0047145A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 xml:space="preserve">Volume13, </w:t>
      </w:r>
      <w:r w:rsidR="003D5D64">
        <w:rPr>
          <w:rFonts w:ascii="Times New Roman" w:hAnsi="Times New Roman" w:cs="Times New Roman" w:hint="eastAsia"/>
          <w:b/>
          <w:szCs w:val="21"/>
        </w:rPr>
        <w:t>Issue 1</w:t>
      </w: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Lead Article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Accounts and rebuttals in an Israeli discourse of dissent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Tamar Katriel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1-16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Commentary Articles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Commentary on accounts for breaking the silence: an Israeli discourse of dissent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Richard Buttny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17-22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Hegemony, dissent, and legitimation: a companion reading of breaking the silence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Randall A. Lake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23-30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Limited dissent: commentary article on ‘Accounts and rebuttals in Israeli discourse of dissent’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Ronald Walter Greene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31-36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Articles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Examining traditional communicative practices in Gerai, Indonesia: a nexus analysis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Andrew Jocuns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37-51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Same but different. Negotiating diversity in Swedish pre-school teacher training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Jenny Rosén &amp; Åsa Wedin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52-68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Book Review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Recent research trends on business discourse: European perspectives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Dantong Zhao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69-74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Referee Acknowledgements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Referee Acknowledgements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Page: 75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Erratum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Erratum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Page: 76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47145A" w:rsidRPr="003D5D64" w:rsidRDefault="0047145A" w:rsidP="00F70362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 xml:space="preserve">Volume13, </w:t>
      </w:r>
      <w:r w:rsidR="003D5D64">
        <w:rPr>
          <w:rFonts w:ascii="Times New Roman" w:hAnsi="Times New Roman" w:cs="Times New Roman" w:hint="eastAsia"/>
          <w:b/>
          <w:szCs w:val="21"/>
        </w:rPr>
        <w:t>Issue 2</w:t>
      </w: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Special Issue: Media and Communication in Development and Social Change Guest Editor: Srinivas R. Melkote</w:t>
      </w: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Introduction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Communication for development and social change: an introduction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Srinivas R. Melkote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77-86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Articles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Culturally centering social change communication: subaltern critiques of, resistance to, and re-imagination of development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Mohan Jyoti Dutta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87-104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Education and everyday life: McLuhan’s ‘city as classroom’ as a practice of social justice in social change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John Dowd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105-119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 w:hint="eastAsia"/>
          <w:color w:val="548DD4" w:themeColor="text2" w:themeTint="99"/>
          <w:szCs w:val="21"/>
        </w:rPr>
        <w:t>‘</w:t>
      </w: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Old habits die hard’: discourses of urban filth in Swachh Bharat Mission and The Ugly Indian</w:t>
      </w:r>
    </w:p>
    <w:p w:rsidR="00F0669A" w:rsidRPr="006760C3" w:rsidRDefault="00F0669A" w:rsidP="00F0669A">
      <w:pPr>
        <w:rPr>
          <w:rFonts w:ascii="Times New Roman" w:hAnsi="Times New Roman" w:cs="Times New Roman"/>
          <w:color w:val="000000" w:themeColor="text1"/>
          <w:szCs w:val="21"/>
        </w:rPr>
      </w:pPr>
      <w:r w:rsidRPr="006760C3">
        <w:rPr>
          <w:rFonts w:ascii="Times New Roman" w:hAnsi="Times New Roman" w:cs="Times New Roman"/>
          <w:color w:val="000000" w:themeColor="text1"/>
          <w:szCs w:val="21"/>
        </w:rPr>
        <w:t>Aman Luthra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120-138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Development as freedom after Flint: a geographical approach to capabilities and antipoverty communication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Clayton Rosati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139-159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Native America Persists: Pocahontas versus Trump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Ellen W. Gorsevski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160-175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Audience-centered discourses in communication and social change: the ‘Voicebook’ of Main Kuch Bhi Kar Sakti Hoon, an entertainment-education initiative in India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Hua Wang &amp; Arvind Singhal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176-191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47145A" w:rsidRPr="003D5D64" w:rsidRDefault="0047145A" w:rsidP="00F70362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lastRenderedPageBreak/>
        <w:t xml:space="preserve">Volume13, </w:t>
      </w:r>
      <w:r w:rsidR="003D5D64">
        <w:rPr>
          <w:rFonts w:ascii="Times New Roman" w:hAnsi="Times New Roman" w:cs="Times New Roman" w:hint="eastAsia"/>
          <w:b/>
          <w:szCs w:val="21"/>
        </w:rPr>
        <w:t>Issue 3</w:t>
      </w: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Lead Article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Beyond postmodernism: a non-western perspective on identity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Jing Yin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193-219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Commentary Articles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Advancing Identity: Classical East and South Meet the West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  <w:r w:rsidRPr="00F0669A">
        <w:rPr>
          <w:rFonts w:ascii="Times New Roman" w:hAnsi="Times New Roman" w:cs="Times New Roman"/>
          <w:szCs w:val="21"/>
          <w:lang w:val="fr-FR"/>
        </w:rPr>
        <w:t>Molefi Kete Asante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  <w:lang w:val="fr-FR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  <w:lang w:val="fr-FR"/>
        </w:rPr>
        <w:t>Pages: 220-225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  <w:lang w:val="fr-FR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  <w:lang w:val="fr-FR"/>
        </w:rPr>
        <w:t>Challenges of de-/pre-colonial ontologies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  <w:r w:rsidRPr="00F0669A">
        <w:rPr>
          <w:rFonts w:ascii="Times New Roman" w:hAnsi="Times New Roman" w:cs="Times New Roman"/>
          <w:szCs w:val="21"/>
          <w:lang w:val="fr-FR"/>
        </w:rPr>
        <w:t>Sarah Amira de la Garza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  <w:lang w:val="fr-FR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  <w:lang w:val="fr-FR"/>
        </w:rPr>
        <w:t>Pages: 226-231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Articles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The vilification of Muslim diaspora in French fictional novels: ‘Soumission’ (2015) and ‘Petit Frère’ (2008) as case studies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  <w:r w:rsidRPr="00F0669A">
        <w:rPr>
          <w:rFonts w:ascii="Times New Roman" w:hAnsi="Times New Roman" w:cs="Times New Roman"/>
          <w:szCs w:val="21"/>
          <w:lang w:val="fr-FR"/>
        </w:rPr>
        <w:t>Abderrahim Ait Abdeslam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  <w:lang w:val="fr-FR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  <w:lang w:val="fr-FR"/>
        </w:rPr>
        <w:t>Pages: 232-242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  <w:lang w:val="fr-FR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  <w:lang w:val="fr-FR"/>
        </w:rPr>
        <w:t>EFL discourse as cultural practice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Muzna Awayed-Bishara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243-258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A cultural discourse analysis of obituaries in China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Yanrong (Yvonne) Chang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259-282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 w:hint="eastAsia"/>
          <w:color w:val="548DD4" w:themeColor="text2" w:themeTint="99"/>
          <w:szCs w:val="21"/>
        </w:rPr>
        <w:t>‘</w:t>
      </w: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Culture’ as a discursive resource in newspaper articles from Le Monde about secularism: constructing ‘us’ through strategic oppositions with religion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  <w:r w:rsidRPr="00F0669A">
        <w:rPr>
          <w:rFonts w:ascii="Times New Roman" w:hAnsi="Times New Roman" w:cs="Times New Roman"/>
          <w:szCs w:val="21"/>
          <w:lang w:val="fr-FR"/>
        </w:rPr>
        <w:t>Mélodine Sommier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  <w:lang w:val="fr-FR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  <w:lang w:val="fr-FR"/>
        </w:rPr>
        <w:t>Pages: 283-299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Review Article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Discourse and racism: a study of (anti)-racist discourse in the Austrian and Australian parliaments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  <w:r w:rsidRPr="00F0669A">
        <w:rPr>
          <w:rFonts w:ascii="Times New Roman" w:hAnsi="Times New Roman" w:cs="Times New Roman"/>
          <w:szCs w:val="21"/>
          <w:lang w:val="fr-FR"/>
        </w:rPr>
        <w:t>Lilian Lem Atanga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  <w:lang w:val="fr-FR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  <w:lang w:val="fr-FR"/>
        </w:rPr>
        <w:t>Pages: 300-307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  <w:lang w:val="fr-FR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  <w:lang w:val="fr-FR"/>
        </w:rPr>
      </w:pPr>
      <w:r w:rsidRPr="00F0669A">
        <w:rPr>
          <w:rFonts w:ascii="Times New Roman" w:hAnsi="Times New Roman" w:cs="Times New Roman"/>
          <w:b/>
          <w:szCs w:val="21"/>
          <w:lang w:val="fr-FR"/>
        </w:rPr>
        <w:t>Correction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  <w:lang w:val="fr-FR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  <w:lang w:val="fr-FR"/>
        </w:rPr>
        <w:t>Correction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Page: 308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47145A" w:rsidRPr="003D5D64" w:rsidRDefault="0047145A" w:rsidP="00F70362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 xml:space="preserve">Volume13, </w:t>
      </w:r>
      <w:r w:rsidR="003D5D64">
        <w:rPr>
          <w:rFonts w:ascii="Times New Roman" w:hAnsi="Times New Roman" w:cs="Times New Roman" w:hint="eastAsia"/>
          <w:b/>
          <w:szCs w:val="21"/>
        </w:rPr>
        <w:t>Issue 4</w:t>
      </w:r>
      <w:bookmarkStart w:id="0" w:name="_GoBack"/>
      <w:bookmarkEnd w:id="0"/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lastRenderedPageBreak/>
        <w:t>Lead Article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Rethinking the colonial encounter with Bakhtin (and contra Foucault)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Craig Brandist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309-325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Commentary Article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Mikhail Bakhtin: between historicism and postcolonial critique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Auritro Majumder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326-333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Articles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Approaching culture, negotiating practice: Finnish educators’ discourses on cultural diversity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Anuleena Kimanen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334-347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Folk Theatre: a potent vehicle for rural transformation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Kevin Onyenankeya &amp; Abiodun Salawu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348-361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Reconceptualising the security in discourse: inclusive security and popular protests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Islam Jusufi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362-376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Fictionalization of Germanness in the times of Greek crisis: deconstructing the ‘two strangers’ frame in TV sketch comedies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Anastasia G. Stamou</w:t>
      </w:r>
    </w:p>
    <w:p w:rsidR="00F0669A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377-397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</w:p>
    <w:p w:rsidR="00F0669A" w:rsidRPr="00F0669A" w:rsidRDefault="00F0669A" w:rsidP="00F0669A">
      <w:pPr>
        <w:jc w:val="center"/>
        <w:rPr>
          <w:rFonts w:ascii="Times New Roman" w:hAnsi="Times New Roman" w:cs="Times New Roman"/>
          <w:b/>
          <w:szCs w:val="21"/>
        </w:rPr>
      </w:pPr>
      <w:r w:rsidRPr="00F0669A">
        <w:rPr>
          <w:rFonts w:ascii="Times New Roman" w:hAnsi="Times New Roman" w:cs="Times New Roman"/>
          <w:b/>
          <w:szCs w:val="21"/>
        </w:rPr>
        <w:t>Continuing Commentary Article</w:t>
      </w:r>
    </w:p>
    <w:p w:rsidR="00F0669A" w:rsidRPr="00F0669A" w:rsidRDefault="00F0669A" w:rsidP="00F0669A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F0669A">
        <w:rPr>
          <w:rFonts w:ascii="Times New Roman" w:hAnsi="Times New Roman" w:cs="Times New Roman"/>
          <w:color w:val="548DD4" w:themeColor="text2" w:themeTint="99"/>
          <w:szCs w:val="21"/>
        </w:rPr>
        <w:t>Deconstructing the Non-West: Limits of Essentialist Identity Narratives</w:t>
      </w:r>
    </w:p>
    <w:p w:rsidR="00F0669A" w:rsidRPr="00F0669A" w:rsidRDefault="00F0669A" w:rsidP="00F0669A">
      <w:pPr>
        <w:rPr>
          <w:rFonts w:ascii="Times New Roman" w:hAnsi="Times New Roman" w:cs="Times New Roman"/>
          <w:szCs w:val="21"/>
        </w:rPr>
      </w:pPr>
      <w:r w:rsidRPr="00F0669A">
        <w:rPr>
          <w:rFonts w:ascii="Times New Roman" w:hAnsi="Times New Roman" w:cs="Times New Roman"/>
          <w:szCs w:val="21"/>
        </w:rPr>
        <w:t>Anjali Gera Roy</w:t>
      </w:r>
    </w:p>
    <w:p w:rsidR="00C00571" w:rsidRPr="006760C3" w:rsidRDefault="00F0669A" w:rsidP="00F0669A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6760C3">
        <w:rPr>
          <w:rFonts w:ascii="Times New Roman" w:hAnsi="Times New Roman" w:cs="Times New Roman"/>
          <w:color w:val="7F7F7F" w:themeColor="text1" w:themeTint="80"/>
          <w:szCs w:val="21"/>
        </w:rPr>
        <w:t>Pages: 398-404</w:t>
      </w:r>
    </w:p>
    <w:sectPr w:rsidR="00C00571" w:rsidRPr="006760C3" w:rsidSect="00A06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00E" w:rsidRDefault="00D7600E" w:rsidP="00C00571">
      <w:r>
        <w:separator/>
      </w:r>
    </w:p>
  </w:endnote>
  <w:endnote w:type="continuationSeparator" w:id="0">
    <w:p w:rsidR="00D7600E" w:rsidRDefault="00D7600E" w:rsidP="00C0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00E" w:rsidRDefault="00D7600E" w:rsidP="00C00571">
      <w:r>
        <w:separator/>
      </w:r>
    </w:p>
  </w:footnote>
  <w:footnote w:type="continuationSeparator" w:id="0">
    <w:p w:rsidR="00D7600E" w:rsidRDefault="00D7600E" w:rsidP="00C00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0571"/>
    <w:rsid w:val="001B2B4D"/>
    <w:rsid w:val="003D5D64"/>
    <w:rsid w:val="0047145A"/>
    <w:rsid w:val="006760C3"/>
    <w:rsid w:val="006956DF"/>
    <w:rsid w:val="008B6443"/>
    <w:rsid w:val="00A06111"/>
    <w:rsid w:val="00C00571"/>
    <w:rsid w:val="00C85A62"/>
    <w:rsid w:val="00CA7AC9"/>
    <w:rsid w:val="00D7600E"/>
    <w:rsid w:val="00EF3DDC"/>
    <w:rsid w:val="00F0669A"/>
    <w:rsid w:val="00F70362"/>
    <w:rsid w:val="00FA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11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956D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5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57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00571"/>
    <w:rPr>
      <w:color w:val="0000FF"/>
      <w:u w:val="single"/>
    </w:rPr>
  </w:style>
  <w:style w:type="character" w:customStyle="1" w:styleId="hlfld-title">
    <w:name w:val="hlfld-title"/>
    <w:basedOn w:val="a0"/>
    <w:rsid w:val="00C00571"/>
  </w:style>
  <w:style w:type="character" w:customStyle="1" w:styleId="articleentryauthorslinks">
    <w:name w:val="articleentryauthorslinks"/>
    <w:basedOn w:val="a0"/>
    <w:rsid w:val="00C00571"/>
  </w:style>
  <w:style w:type="character" w:customStyle="1" w:styleId="3Char">
    <w:name w:val="标题 3 Char"/>
    <w:basedOn w:val="a0"/>
    <w:link w:val="3"/>
    <w:uiPriority w:val="9"/>
    <w:rsid w:val="006956D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subj-group">
    <w:name w:val="subj-group"/>
    <w:basedOn w:val="a0"/>
    <w:rsid w:val="00695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3305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653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9679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17751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3767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9769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4051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50048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7527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0758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2505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610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1602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5028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2375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5849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27776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4136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4243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19149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123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4503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400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89445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017118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5560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99471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9863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62165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6676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1573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2040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0040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7701">
          <w:marLeft w:val="0"/>
          <w:marRight w:val="0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950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4718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27816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7001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14042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3489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4751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642479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8224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97679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6394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05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953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3834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5655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14898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6459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7779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90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774564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3154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8278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805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29517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7392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5021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5173">
              <w:marLeft w:val="0"/>
              <w:marRight w:val="0"/>
              <w:marTop w:val="10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0982">
          <w:marLeft w:val="0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591</Words>
  <Characters>3375</Characters>
  <Application>Microsoft Office Word</Application>
  <DocSecurity>0</DocSecurity>
  <Lines>28</Lines>
  <Paragraphs>7</Paragraphs>
  <ScaleCrop>false</ScaleCrop>
  <Company>Microsoft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USER-</cp:lastModifiedBy>
  <cp:revision>9</cp:revision>
  <dcterms:created xsi:type="dcterms:W3CDTF">2019-03-12T07:28:00Z</dcterms:created>
  <dcterms:modified xsi:type="dcterms:W3CDTF">2019-05-14T08:29:00Z</dcterms:modified>
</cp:coreProperties>
</file>